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81B9B" w:rsidRPr="00D81B9B" w:rsidTr="00D81B9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81B9B" w:rsidRPr="00D81B9B" w:rsidRDefault="00D81B9B" w:rsidP="00D81B9B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76/07.) i članka 9. Statuta općine Brckovljani (Službeni glasnik općine Brckovljani broj 05/01. i 10/06.) Općinsko vijeće općine Brckovljani na svojoj 31. sjednici održanoj 07. travnja 2009. godine donijelo je</w:t>
            </w:r>
          </w:p>
        </w:tc>
        <w:tc>
          <w:tcPr>
            <w:tcW w:w="1100" w:type="pct"/>
            <w:vAlign w:val="center"/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1B9B" w:rsidRPr="00D81B9B" w:rsidRDefault="00D81B9B" w:rsidP="00D81B9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IZRADI URBANISTIČKOG PLANA UREĐENJA STAMBENO- POSLOVNE ZONE BOŽJAKOVINA (81 ha)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Na osnovu ove Odluke izraditi će se i donijeti Urbanistički plan uređenja stambeno-poslovne zone Božjakovina (UPU).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Urbanistički plan uređenja stambeno-poslovne zone Božjakovina obuhvaća površinu od cca 8,10 ha i to k.č.br. 4/1, 4/2, 4/3 i 4/4 sve k.o. Andrilovec.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Ocjena stanja o obuhvatu Plana dana je u Izvješću o stanju u prostoru općine Brckovljani (Službeni glasnik općine Brckovljani broj 1/09.). Cilj i programska polazišta Plana dana su u</w:t>
      </w:r>
      <w:r w:rsidRPr="00D81B9B">
        <w:rPr>
          <w:rFonts w:ascii="Arial" w:eastAsia="Times New Roman" w:hAnsi="Arial" w:cs="Arial"/>
          <w:color w:val="000000"/>
          <w:sz w:val="20"/>
        </w:rPr>
        <w:t> </w:t>
      </w:r>
      <w:r w:rsidRPr="00D81B9B">
        <w:rPr>
          <w:rFonts w:ascii="Arial" w:eastAsia="Times New Roman" w:hAnsi="Arial" w:cs="Arial"/>
          <w:color w:val="000000"/>
          <w:sz w:val="20"/>
          <w:szCs w:val="20"/>
          <w:lang w:val="en-US"/>
        </w:rPr>
        <w:t>IV</w:t>
      </w:r>
      <w:r w:rsidRPr="00D81B9B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D81B9B">
        <w:rPr>
          <w:rFonts w:ascii="Arial" w:eastAsia="Times New Roman" w:hAnsi="Arial" w:cs="Arial"/>
          <w:color w:val="000000"/>
          <w:sz w:val="20"/>
          <w:szCs w:val="20"/>
        </w:rPr>
        <w:t>poglavlju Izvješća o stanju u prostoru općine Brckovljani (Službeni glasnik općine Brckovljani broj 01/09.), a svrha je stvaranje uvjeta razvoja Općine Brckovljani na načelima održivog razvoja.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Stručne podloge (sociološke, demografske, ekološke, energetske, graditeljske, hortikulturne, estetske i druge) i stručna rješenja potrebna za izradu Urbanističkog plana uređenja stambeno-poslovne zone Božjakovina prikupiti će se sukladno propisima od ustanova i tijela koja su nadležna za pojedine javne djelatnosti ili ovlasti prema članku 79. Zakona o prostornom uređenju i gradnji (Narodne novine broj 76/07.) te eventualno i druge pravne osobe ili tijela za koje se tijekom izrade Urbanističkog plana uređenja stambeno-poslovne zone Božjakovina utvrdi da imaju interes koji bi trebao uvažiti kod donošenja Plana.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zahtjeve, podatke, planske smjernice i propisane dokumente iz područja svog djelokruga, a za potrebe izrade Urbanističkog plana uređenja stambeno-poslovne zone Božjakovina:</w:t>
      </w:r>
    </w:p>
    <w:tbl>
      <w:tblPr>
        <w:tblW w:w="1224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2091"/>
      </w:tblGrid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Ministarstvo zaštite okoliša, prostornog uređenja i građenja, Zagreb, Ulica Republike Austrije 20,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Ministarstvo kulture, Uprava za zaštitu kulturne baštine, Konzervatorski odjel u Zagrebu, Zagreb, Mesnička 49,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Zagrebačka županija, Županijski zavod za prostorno uređenje i zaštitu okoliša, Zagreb, Ulica grada Vukovara 72,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Zagrebačka županija Upravni odjel za gospodarstvo, Zagreb, Ulica grada Vukovara 72,</w:t>
            </w:r>
          </w:p>
        </w:tc>
      </w:tr>
      <w:tr w:rsidR="00D81B9B" w:rsidRPr="00D81B9B" w:rsidTr="00D81B9B">
        <w:trPr>
          <w:trHeight w:val="24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Zagrebačka županija, Upravni odjel za prostorno uređenje, gradnju i zaštitu okoliša, Ispostava Dugo Selo Dugo Selo, Ulica Josipa Zorića 1,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Državna geodetska uprava, PU katastar Zagreb, Ispostava Dugo Selo, Dugo Selo, Ulica Josipa Zorića 1,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MUP PU Zagrebačka, Sektor pravnih poslova inspekcijskih i poslova civilne zaštite, Zagreb, Petrinjska 30,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Hrvatske vode VGO sliva Lonja Zelina, Ispostava Dugo Selo,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Hrvatske ceste , Zagreb , Vončinina 3,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Županijska uprava za ceste, Zagreb, Remetinečka cesta 3,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Hrvatske željeznice, Sektor razvoja i planiranja investicija Zagreb,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HEP, Elektra Zagreb, Pogon Dugo Selo, Dugo Selo, Domobranska 14/a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HT- Telekomunikacijski centar Zagreb,.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Dukom d.o.o. Dugo Selo, Josipa Zorića 1,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Komunalac Brckovljani d.o.o. Dugo Selo, Josipa Zorića 1</w:t>
            </w:r>
          </w:p>
        </w:tc>
      </w:tr>
      <w:tr w:rsidR="00D81B9B" w:rsidRPr="00D81B9B" w:rsidTr="00D81B9B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i druga tijela utvrđena člankom 79. Zakona o prostornom uređenju i građenju (Narodne novine 76/07.)</w:t>
            </w:r>
          </w:p>
        </w:tc>
      </w:tr>
    </w:tbl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Za izradu Urbanističkog plana uređenja stambeno-poslovne zone Božjakovina koristiti će se postojeće podloge i to:</w:t>
      </w:r>
    </w:p>
    <w:tbl>
      <w:tblPr>
        <w:tblW w:w="1042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276"/>
      </w:tblGrid>
      <w:tr w:rsidR="00D81B9B" w:rsidRPr="00D81B9B" w:rsidTr="00D81B9B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Prostorni plan uređenja općine Brckovljani,</w:t>
            </w:r>
          </w:p>
        </w:tc>
      </w:tr>
      <w:tr w:rsidR="00D81B9B" w:rsidRPr="00D81B9B" w:rsidTr="00D81B9B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Prostorni plan Zagrebačke županije,</w:t>
            </w:r>
          </w:p>
        </w:tc>
      </w:tr>
      <w:tr w:rsidR="00D81B9B" w:rsidRPr="00D81B9B" w:rsidTr="00D81B9B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Ortofoto snimke područja Općine Brckovljani,</w:t>
            </w:r>
          </w:p>
        </w:tc>
      </w:tr>
      <w:tr w:rsidR="00D81B9B" w:rsidRPr="00D81B9B" w:rsidTr="00D81B9B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Digitalizirane katastarske karte područja Općine Brckovljani,</w:t>
            </w:r>
          </w:p>
        </w:tc>
      </w:tr>
      <w:tr w:rsidR="00D81B9B" w:rsidRPr="00D81B9B" w:rsidTr="00D81B9B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1B9B" w:rsidRPr="00D81B9B" w:rsidRDefault="00D81B9B" w:rsidP="00D81B9B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Topografske karte područja Općine Brckovljani.</w:t>
            </w:r>
          </w:p>
        </w:tc>
      </w:tr>
    </w:tbl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Izrada i donošenje Urbanističkog plana uređenja stambeno-poslovne zone Božjakovina provesti će se u Zakonom propisanim rokovima što će se utvrditi u Ugovoru sa izrađivačem Plana.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Do donošenja Urbanističkog plana uređenja stambeno - poslovne zone Božjakovina zabranjuje se izdavanje akata kojima se odobravanju zahvati u prostoru obuhvata UPU-a.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Izradu Urbanističkog plana uređenja stambeno-poslovne zone Božjakovina financirati će poduzeće "LEVANTE OSAM" d.o.o. iz Božjakovine, Božjakovečka 8.</w:t>
      </w:r>
    </w:p>
    <w:p w:rsidR="00D81B9B" w:rsidRPr="00D81B9B" w:rsidRDefault="00D81B9B" w:rsidP="00D81B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Ova Odluka objaviti će se u Službenom glasniku općine Brckovljani i stupa na snagu u roku 8 (osam) dana od dana objave.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81B9B" w:rsidRPr="00D81B9B" w:rsidTr="00D81B9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81B9B" w:rsidRPr="00D81B9B" w:rsidRDefault="00D81B9B" w:rsidP="00D81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9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81B9B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81B9B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81B9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81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D81B9B">
        <w:rPr>
          <w:rFonts w:ascii="Arial" w:eastAsia="Times New Roman" w:hAnsi="Arial" w:cs="Arial"/>
          <w:color w:val="000000"/>
          <w:sz w:val="20"/>
        </w:rPr>
        <w:t> </w:t>
      </w:r>
      <w:r w:rsidRPr="00D81B9B">
        <w:rPr>
          <w:rFonts w:ascii="Arial" w:eastAsia="Times New Roman" w:hAnsi="Arial" w:cs="Arial"/>
          <w:color w:val="000000"/>
          <w:sz w:val="20"/>
          <w:szCs w:val="20"/>
        </w:rPr>
        <w:t>021-05/09-01/24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D81B9B">
        <w:rPr>
          <w:rFonts w:ascii="Arial" w:eastAsia="Times New Roman" w:hAnsi="Arial" w:cs="Arial"/>
          <w:color w:val="000000"/>
          <w:sz w:val="20"/>
        </w:rPr>
        <w:t> </w:t>
      </w:r>
      <w:r w:rsidRPr="00D81B9B">
        <w:rPr>
          <w:rFonts w:ascii="Arial" w:eastAsia="Times New Roman" w:hAnsi="Arial" w:cs="Arial"/>
          <w:color w:val="000000"/>
          <w:sz w:val="20"/>
          <w:szCs w:val="20"/>
        </w:rPr>
        <w:t>23 8/04-09- 8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Dugo Selo, </w:t>
      </w:r>
    </w:p>
    <w:p w:rsidR="00D81B9B" w:rsidRPr="00D81B9B" w:rsidRDefault="00D81B9B" w:rsidP="00D81B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1B9B">
        <w:rPr>
          <w:rFonts w:ascii="Arial" w:eastAsia="Times New Roman" w:hAnsi="Arial" w:cs="Arial"/>
          <w:color w:val="000000"/>
          <w:sz w:val="20"/>
          <w:szCs w:val="20"/>
        </w:rPr>
        <w:t>07. travnja 2009.</w:t>
      </w:r>
    </w:p>
    <w:p w:rsidR="002F6968" w:rsidRDefault="002F6968"/>
    <w:sectPr w:rsidR="002F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81B9B"/>
    <w:rsid w:val="002F6968"/>
    <w:rsid w:val="00D8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8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8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8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1B9B"/>
  </w:style>
  <w:style w:type="paragraph" w:styleId="NormalWeb">
    <w:name w:val="Normal (Web)"/>
    <w:basedOn w:val="Normal"/>
    <w:uiPriority w:val="99"/>
    <w:unhideWhenUsed/>
    <w:rsid w:val="00D8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2016-07-21T09:42:00Z</dcterms:created>
  <dcterms:modified xsi:type="dcterms:W3CDTF">2016-07-21T09:42:00Z</dcterms:modified>
</cp:coreProperties>
</file>